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right"/>
        <w:rPr>
          <w:rFonts w:ascii="Verdana" w:cs="Verdana" w:eastAsia="Verdana" w:hAnsi="Verdana"/>
          <w:b w:val="1"/>
          <w:sz w:val="23"/>
          <w:szCs w:val="23"/>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right"/>
        <w:rPr>
          <w:rFonts w:ascii="Verdana" w:cs="Verdana" w:eastAsia="Verdana" w:hAnsi="Verdana"/>
          <w:b w:val="1"/>
          <w:i w:val="0"/>
          <w:smallCaps w:val="0"/>
          <w:strike w:val="0"/>
          <w:color w:val="000000"/>
          <w:sz w:val="23"/>
          <w:szCs w:val="23"/>
          <w:u w:val="none"/>
          <w:shd w:fill="auto" w:val="clear"/>
          <w:vertAlign w:val="baseline"/>
        </w:rPr>
      </w:pPr>
      <w:bookmarkStart w:colFirst="0" w:colLast="0" w:name="_ehzy4a7hmh6i" w:id="1"/>
      <w:bookmarkEnd w:id="1"/>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Filosofía 4to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right"/>
        <w:rPr>
          <w:rFonts w:ascii="Verdana" w:cs="Verdana" w:eastAsia="Verdana" w:hAnsi="Verdana"/>
          <w:b w:val="1"/>
          <w:sz w:val="23"/>
          <w:szCs w:val="23"/>
        </w:rPr>
      </w:pPr>
      <w:bookmarkStart w:colFirst="0" w:colLast="0" w:name="_wpjr50mun8bm" w:id="2"/>
      <w:bookmarkEnd w:id="2"/>
      <w:r w:rsidDel="00000000" w:rsidR="00000000" w:rsidRPr="00000000">
        <w:rPr>
          <w:rFonts w:ascii="Verdana" w:cs="Verdana" w:eastAsia="Verdana" w:hAnsi="Verdana"/>
          <w:b w:val="1"/>
          <w:sz w:val="23"/>
          <w:szCs w:val="23"/>
          <w:rtl w:val="0"/>
        </w:rPr>
        <w:t xml:space="preserve">Preuniversitario San Felipe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righ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sz w:val="23"/>
          <w:szCs w:val="23"/>
          <w:rtl w:val="0"/>
        </w:rPr>
        <w:t xml:space="preserve">Profa. </w:t>
      </w:r>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Isabel Pérez de Sierra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center"/>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sz w:val="23"/>
          <w:szCs w:val="23"/>
          <w:rtl w:val="0"/>
        </w:rPr>
        <w:t xml:space="preserve">El comienzo de la filosofía: los filósofos de la naturaleza</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La filosofía presocrática se define como aquella desarrollada antes y contemporáneamente a </w:t>
      </w:r>
      <w:hyperlink r:id="rId6">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Sócrates</w:t>
        </w:r>
      </w:hyperlink>
      <w:r w:rsidDel="00000000" w:rsidR="00000000" w:rsidRPr="00000000">
        <w:rPr>
          <w:rFonts w:ascii="Verdana" w:cs="Verdana" w:eastAsia="Verdana" w:hAnsi="Verdana"/>
          <w:sz w:val="23"/>
          <w:szCs w:val="23"/>
          <w:rtl w:val="0"/>
        </w:rPr>
        <w:t xml:space="preserve">, en los alrededores del S. V ac.</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hyperlink r:id="rId7">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Aristóteles</w:t>
        </w:r>
      </w:hyperlink>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w:t>
      </w: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e refirió a todos los pensadores en este grupo como physikoi, debido a que estos buscaban explicaciones naturales a los fenómenos que observaban.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i w:val="1"/>
          <w:sz w:val="23"/>
          <w:szCs w:val="23"/>
        </w:rPr>
      </w:pPr>
      <w:r w:rsidDel="00000000" w:rsidR="00000000" w:rsidRPr="00000000">
        <w:rPr>
          <w:rFonts w:ascii="Verdana" w:cs="Verdana" w:eastAsia="Verdana" w:hAnsi="Verdana"/>
          <w:i w:val="1"/>
          <w:sz w:val="23"/>
          <w:szCs w:val="23"/>
          <w:rtl w:val="0"/>
        </w:rPr>
        <w:t xml:space="preserve"> “Recordemos, sin embargo, aquí las opiniones de aquellos que antes que nosotros se han dedicado al estudio del ser y han filosofado sobre la verdad; y que, por otra parte, han discurrido también sobre ciertos principios y ciertas causas. La mayor parte de los primeros que filosofaron, no consideraron los principios de todas las cosas, sino desde el punto de vista de la materia. Aquello de donde salen todos los seres, de donde proviene todo lo que se produce, y adonde va a parar toda destrucción, persistiendo la sustancia misma bajo sus diversas modificaciones, he aquí el principio de los seres. Y así creen, que nada nace ni perece verdaderamente, puesto que esta naturaleza primera subsiste siempre (...) Porque es indispensable que haya una naturaleza primera, sea única, sea múltiple, la cual subsistiendo siempre, produzca todas las demás cosas. Por lo que hace al número y al carácter propio de los elementos, estos filósofos no están de acuerdo”. </w:t>
      </w:r>
    </w:p>
    <w:p w:rsidR="00000000" w:rsidDel="00000000" w:rsidP="00000000" w:rsidRDefault="00000000" w:rsidRPr="00000000" w14:paraId="00000009">
      <w:pPr>
        <w:shd w:fill="ffffff" w:val="clear"/>
        <w:spacing w:after="390" w:line="240" w:lineRule="auto"/>
        <w:jc w:val="right"/>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Metafísica. Libro I. Parte III</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Los filósofos presocráticos son relacionados con el inicio de la filosofía, en tanto rechazaron la visión mitológica tradicional de la época, para proveer una explicación racional de las cosas. Les caracteriza la búsqueda de respuestas en torno al problema de la physis, o naturaleza. Intentan dar cuenta de lo que las cosas son, más allá de lo que muestran o aparentan. Su principal preocupación estará centrada en la búsqueda del Arjé (Arché), o principio originario material. Aquello constitutivo de todo lo que es.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Tales de Mileto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Tales de Mileto (624 a.C. – 546 a.C.), nacido en Mileto (hoy Turquía), es tradicionalmente reconocido como el primer filósofo y matemático occidental. Fue capaz de predecir con precisión el eclipse solar ocurrido el 28 de mayo del 585 a.C. y fue conocido como un gran astrónomo, geómetra, estadista y sabio.</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Se dice que Tales fue el primero en preguntarse acerca de la composición básica del universo y estableció que la primera causa o Arjé era el agua. Esta tiene la capacidad de cambiar de forma y moverse, permaneciendo intacta en substancia.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Según Aristóteles:</w:t>
      </w:r>
    </w:p>
    <w:p w:rsidR="00000000" w:rsidDel="00000000" w:rsidP="00000000" w:rsidRDefault="00000000" w:rsidRPr="00000000" w14:paraId="0000000F">
      <w:pPr>
        <w:shd w:fill="ffffff" w:val="clear"/>
        <w:spacing w:after="390" w:line="240" w:lineRule="auto"/>
        <w:jc w:val="both"/>
        <w:rPr>
          <w:rFonts w:ascii="Verdana" w:cs="Verdana" w:eastAsia="Verdana" w:hAnsi="Verdana"/>
          <w:i w:val="1"/>
          <w:sz w:val="23"/>
          <w:szCs w:val="23"/>
        </w:rPr>
      </w:pPr>
      <w:r w:rsidDel="00000000" w:rsidR="00000000" w:rsidRPr="00000000">
        <w:rPr>
          <w:rFonts w:ascii="Verdana" w:cs="Verdana" w:eastAsia="Verdana" w:hAnsi="Verdana"/>
          <w:i w:val="1"/>
          <w:sz w:val="23"/>
          <w:szCs w:val="23"/>
          <w:rtl w:val="0"/>
        </w:rPr>
        <w:t xml:space="preserve">Tales, fundador de esta filosofía, considera el agua como primer principio. Por esto llega hasta pretender que la tierra descansa en el agua; y se vio probablemente conducido a esta idea, porque observaba que la humedad alimenta todas las cosas, que lo caliente mismo procede de ella, y que todo animal vive de la humedad; y aquello de donde viene todo, es claro, que es el principio de todas las cosas. Otra observación le condujo también a esta opinión. Las semillas de todas las cosas son húmedas por naturaleza y el agua es el principio de las cosas húmedas. Algunos creen que los hombres de los más remotos tiempos y con ellos los primeros teólogos (22) muy anteriores a nuestra época, se figuraron la naturaleza de la misma manera que Tales. (...) Tal fue, por lo que se dice, la doctrina de Tales sobre la primera causa.</w:t>
      </w:r>
    </w:p>
    <w:p w:rsidR="00000000" w:rsidDel="00000000" w:rsidP="00000000" w:rsidRDefault="00000000" w:rsidRPr="00000000" w14:paraId="00000010">
      <w:pPr>
        <w:shd w:fill="ffffff" w:val="clear"/>
        <w:spacing w:after="390" w:line="240" w:lineRule="auto"/>
        <w:jc w:val="right"/>
        <w:rPr>
          <w:rFonts w:ascii="Verdana" w:cs="Verdana" w:eastAsia="Verdana" w:hAnsi="Verdana"/>
          <w:sz w:val="23"/>
          <w:szCs w:val="23"/>
        </w:rPr>
      </w:pPr>
      <w:r w:rsidDel="00000000" w:rsidR="00000000" w:rsidRPr="00000000">
        <w:rPr>
          <w:rFonts w:ascii="Verdana" w:cs="Verdana" w:eastAsia="Verdana" w:hAnsi="Verdana"/>
          <w:sz w:val="23"/>
          <w:szCs w:val="23"/>
          <w:rtl w:val="0"/>
        </w:rPr>
        <w:t xml:space="preserve">Metafísica. Libro I. Parte III</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Anaximandro</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hyperlink r:id="rId8">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Anaximandro</w:t>
        </w:r>
      </w:hyperlink>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 (610 a. C.  – 545 a.C.) fue un filósofo griego presocrático que vivió en Mileto, en la Turquía moderna. Perteneció a la Escuela de Mileto y fue discípulo de Tales.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Con el tiempo llegó a convertirse en maestro de esta misma escuela y contaba entre sus pupilos a Anaxímenes y Pitágoras. Fue un proponente de ciencia y trató de observar los diferentes aspectos del universo, en particular sus orígenes.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Creía que la naturaleza estaba controlada por leyes, del mismo modo que las sociedades humanas, y cualquier perturbación en el balance de la misma no podía durar mucho.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Para Anaximandro, el Arjé es lo Ápeiron, lo indefinido o lo indeterminado. El principio originario de todo lo que es para Anaximandro es aquello que no tiene determinación, lo que luego será limitado y determinado para verse tal como se ven las cosas en la naturaleza.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Se trata pues, de un elemento no empírico y por su carácter indefinido permite explicar mejor el origen de las cosas que a través de un elemento determinado.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Anaxágoras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Anaxágoras (510 a.C. – 428 a.C.) fue un filósofo griego presocrático nacido en Clazomenae en el Asia Menor. Vivió y enseñó en Atenas por más de 30 años. Su visión describía al mundo como una mezcla de ingredientes primarios imperecederos.</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El cambio nunca era causado por la presencia absoluta de un ingrediente en particular, pero por la preponderancia de alguno de ellos sobre los otros. Introdujo el concepto de Nous (Mente) como una fuerza ordenadora que mueve y separa la mezcla original, la cual tenía características homogéneas.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000000"/>
          <w:sz w:val="23"/>
          <w:szCs w:val="23"/>
          <w:u w:val="none"/>
          <w:shd w:fill="auto" w:val="clear"/>
          <w:vertAlign w:val="baseline"/>
        </w:rPr>
      </w:pPr>
      <w:r w:rsidDel="00000000" w:rsidR="00000000" w:rsidRPr="00000000">
        <w:rPr>
          <w:rFonts w:ascii="Verdana" w:cs="Verdana" w:eastAsia="Verdana" w:hAnsi="Verdana"/>
          <w:b w:val="1"/>
          <w:i w:val="0"/>
          <w:smallCaps w:val="0"/>
          <w:strike w:val="0"/>
          <w:color w:val="000000"/>
          <w:sz w:val="23"/>
          <w:szCs w:val="23"/>
          <w:u w:val="none"/>
          <w:shd w:fill="auto" w:val="clear"/>
          <w:vertAlign w:val="baseline"/>
          <w:rtl w:val="0"/>
        </w:rPr>
        <w:t xml:space="preserve">Anaxímenes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hyperlink r:id="rId9">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Anaxímenes de Mileto</w:t>
        </w:r>
      </w:hyperlink>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 (585 a.C. – 528 a.C.) fue un filósofo griego presocrático, considerado como el tercero de la Escuela de Mileto y discípulo de Anaximandro. Anaxímenes es más conocido por su doctrina que el aire es la fuente de todas las cosas, difiriendo de sus predecesores como Tales, que consideraba al agua como fuente.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000000"/>
          <w:sz w:val="23"/>
          <w:szCs w:val="23"/>
          <w:u w:val="none"/>
          <w:shd w:fill="auto" w:val="clear"/>
          <w:vertAlign w:val="baseline"/>
          <w:rtl w:val="0"/>
        </w:rPr>
        <w:t xml:space="preserve">A partir de esta idea, construyó una teoría que explica el origen de la naturaleza, la tierra y los cuerpos celestiales que la rodean. Anaxímenes también usó sus observaciones y razonamiento para proveer causas de fenómenos naturales como los terremotos, rayos y el arcoíris.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1"/>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1"/>
          <w:i w:val="0"/>
          <w:smallCaps w:val="0"/>
          <w:strike w:val="0"/>
          <w:color w:val="222222"/>
          <w:sz w:val="23"/>
          <w:szCs w:val="23"/>
          <w:u w:val="none"/>
          <w:shd w:fill="auto" w:val="clear"/>
          <w:vertAlign w:val="baseline"/>
          <w:rtl w:val="0"/>
        </w:rPr>
        <w:t xml:space="preserve">Pitágoras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Quattrocento Sans" w:cs="Quattrocento Sans" w:eastAsia="Quattrocento Sans" w:hAnsi="Quattrocento Sans"/>
          <w:b w:val="0"/>
          <w:i w:val="0"/>
          <w:smallCaps w:val="0"/>
          <w:strike w:val="0"/>
          <w:color w:val="333333"/>
          <w:sz w:val="24"/>
          <w:szCs w:val="24"/>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La vida de </w:t>
      </w: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Pitágoras</w:t>
      </w: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 se encuentra envuelta en leyendas. Nació en </w:t>
      </w: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Jonia</w:t>
      </w: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 en la Isla de Samos hacia el 572 a.C. donde aparentemente habría conocido a </w:t>
      </w: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Anaximandro</w:t>
      </w: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 de Mileto.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Quattrocento Sans" w:cs="Quattrocento Sans" w:eastAsia="Quattrocento Sans" w:hAnsi="Quattrocento Sans"/>
          <w:b w:val="1"/>
          <w:i w:val="0"/>
          <w:smallCaps w:val="0"/>
          <w:strike w:val="0"/>
          <w:color w:val="333333"/>
          <w:sz w:val="24"/>
          <w:szCs w:val="24"/>
          <w:highlight w:val="white"/>
          <w:u w:val="none"/>
          <w:vertAlign w:val="baseline"/>
        </w:rPr>
      </w:pP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El número como arjé de todas las cosas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both"/>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Aristóteles</w:t>
      </w: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 explica que esta doctrina se base en descubrimientos empíricos, por ejemplo, en el hecho de que los intervalos musicales que hay entre las notas de la lira pueden expresarse numéricamente. Pero a su vez, los pitagóricos concibieron los números de tal modo que confundían el punto geométrico con la unidad aritmética. Las unidades tienen, pues, para ellos, extensión espacial y pueden ser consideradas como el elemento material de las cosas. De esta forma, si las cosas se componen de números es porque se componen de agregaciones de unidades-puntos. Esta interpretación no hace sino corroborar algo conocido: los griegos concebían cualquier realidad a partir de su extensión espacial. Se considera ésta la interpretación más probable respecto a la que el </w:t>
      </w:r>
      <w:r w:rsidDel="00000000" w:rsidR="00000000" w:rsidRPr="00000000">
        <w:rPr>
          <w:rFonts w:ascii="Quattrocento Sans" w:cs="Quattrocento Sans" w:eastAsia="Quattrocento Sans" w:hAnsi="Quattrocento Sans"/>
          <w:b w:val="1"/>
          <w:i w:val="0"/>
          <w:smallCaps w:val="0"/>
          <w:strike w:val="0"/>
          <w:color w:val="333333"/>
          <w:sz w:val="24"/>
          <w:szCs w:val="24"/>
          <w:highlight w:val="white"/>
          <w:u w:val="none"/>
          <w:vertAlign w:val="baseline"/>
          <w:rtl w:val="0"/>
        </w:rPr>
        <w:t xml:space="preserve">número</w:t>
      </w:r>
      <w:r w:rsidDel="00000000" w:rsidR="00000000" w:rsidRPr="00000000">
        <w:rPr>
          <w:rFonts w:ascii="Quattrocento Sans" w:cs="Quattrocento Sans" w:eastAsia="Quattrocento Sans" w:hAnsi="Quattrocento Sans"/>
          <w:b w:val="0"/>
          <w:i w:val="0"/>
          <w:smallCaps w:val="0"/>
          <w:strike w:val="0"/>
          <w:color w:val="333333"/>
          <w:sz w:val="24"/>
          <w:szCs w:val="24"/>
          <w:highlight w:val="white"/>
          <w:u w:val="none"/>
          <w:vertAlign w:val="baseline"/>
          <w:rtl w:val="0"/>
        </w:rPr>
        <w:t xml:space="preserve"> es el arjé de todas las cosas.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feder.com/aportaciones-de-anaximenes/" TargetMode="External"/><Relationship Id="rId5" Type="http://schemas.openxmlformats.org/officeDocument/2006/relationships/styles" Target="styles.xml"/><Relationship Id="rId6" Type="http://schemas.openxmlformats.org/officeDocument/2006/relationships/hyperlink" Target="https://www.lifeder.com/filosofia-socrates/" TargetMode="External"/><Relationship Id="rId7" Type="http://schemas.openxmlformats.org/officeDocument/2006/relationships/hyperlink" Target="https://www.lifeder.com/aportaciones-aristoteles/" TargetMode="External"/><Relationship Id="rId8" Type="http://schemas.openxmlformats.org/officeDocument/2006/relationships/hyperlink" Target="https://www.lifeder.com/aportaciones-anaximand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